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度殡葬管理所悼念厅维修项目</w:t>
      </w:r>
    </w:p>
    <w:p>
      <w:pPr>
        <w:pStyle w:val="6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经</w:t>
      </w:r>
      <w:r>
        <w:rPr>
          <w:rFonts w:ascii="Times New Roman" w:hAnsi="Times New Roman" w:eastAsia="方正小标宋简体" w:cs="Times New Roman"/>
          <w:sz w:val="44"/>
          <w:szCs w:val="44"/>
        </w:rPr>
        <w:t>费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使用情况公示</w:t>
      </w:r>
    </w:p>
    <w:p>
      <w:pPr>
        <w:shd w:val="clear" w:color="auto" w:fill="FFFFFF"/>
        <w:spacing w:line="57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一、项目信息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殡葬管理所悼念厅维修项目</w:t>
      </w:r>
    </w:p>
    <w:p>
      <w:pPr>
        <w:shd w:val="clear" w:color="auto" w:fill="FFFFFF"/>
        <w:spacing w:line="576" w:lineRule="exact"/>
        <w:ind w:firstLine="643" w:firstLineChars="200"/>
        <w:rPr>
          <w:rFonts w:ascii="仿宋" w:hAnsi="仿宋" w:eastAsia="仿宋" w:cs="楷体_GB2312"/>
          <w:bCs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项目主要内容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>本项目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为对殡葬管理所灾后受损房屋进行维修加固及老旧设备进行更换，提高殡仪接待能力、提升场所安全性，提高群众满意度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项目周期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年1月至202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资金额度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万元（省本级福彩公益金）</w:t>
      </w:r>
    </w:p>
    <w:p>
      <w:pPr>
        <w:shd w:val="clear" w:color="auto" w:fill="FFFFFF"/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项目负责人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泸县殡葬管理所所长廖世友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联系方式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13700987407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项目完成情况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已全部完成</w:t>
      </w:r>
    </w:p>
    <w:p>
      <w:pPr>
        <w:shd w:val="clear" w:color="auto" w:fill="FFFFFF"/>
        <w:spacing w:line="576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接受督查情况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殡葬管理所悼念厅维修项目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实施接受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民政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监督检查，项目实施规范，资料完整齐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备，实施效果符合立项初衷。</w:t>
      </w: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项目效果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悼念厅更换</w:t>
      </w:r>
      <w:r>
        <w:rPr>
          <w:rFonts w:hint="eastAsia" w:ascii="仿宋_GB2312" w:hAnsi="仿宋_GB2312" w:eastAsia="仿宋_GB2312"/>
          <w:sz w:val="32"/>
        </w:rPr>
        <w:t>吊顶约500平方米，</w:t>
      </w:r>
      <w:r>
        <w:rPr>
          <w:rFonts w:hint="eastAsia" w:ascii="仿宋_GB2312" w:hAnsi="仿宋_GB2312" w:eastAsia="仿宋_GB2312"/>
          <w:sz w:val="32"/>
          <w:lang w:eastAsia="zh-CN"/>
        </w:rPr>
        <w:t>更换</w:t>
      </w:r>
      <w:r>
        <w:rPr>
          <w:rFonts w:hint="eastAsia" w:ascii="仿宋_GB2312" w:hAnsi="仿宋_GB2312" w:eastAsia="仿宋_GB2312"/>
          <w:sz w:val="32"/>
        </w:rPr>
        <w:t>地砖约150平方米</w:t>
      </w:r>
      <w:r>
        <w:rPr>
          <w:rFonts w:hint="eastAsia" w:ascii="仿宋_GB2312" w:hAnsi="仿宋_GB2312" w:eastAsia="仿宋_GB2312"/>
          <w:sz w:val="32"/>
          <w:lang w:eastAsia="zh-CN"/>
        </w:rPr>
        <w:t>，粉刷</w:t>
      </w:r>
      <w:r>
        <w:rPr>
          <w:rFonts w:hint="eastAsia" w:ascii="仿宋_GB2312" w:hAnsi="仿宋_GB2312" w:eastAsia="仿宋_GB2312"/>
          <w:sz w:val="32"/>
        </w:rPr>
        <w:t>墙体约2000平方米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屋顶卷材防水约300平方米。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新购置冰棺</w:t>
      </w:r>
      <w:r>
        <w:rPr>
          <w:rFonts w:hint="eastAsia" w:ascii="仿宋_GB2312" w:hAnsi="仿宋_GB2312" w:eastAsia="仿宋_GB2312"/>
          <w:sz w:val="32"/>
          <w:lang w:val="en-US" w:eastAsia="zh-CN"/>
        </w:rPr>
        <w:t>3台、5P空调7台、音响1套、不锈钢长椅17套、实木床3张。</w:t>
      </w: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项目和资金管理办法</w:t>
      </w:r>
    </w:p>
    <w:p>
      <w:pPr>
        <w:pStyle w:val="6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《四川省中央和省级财政彩票公益金支持社会福利事业资金管理办法》（川财社〔2020〕64号）《四川省民政厅福利彩票公益金使用管理办法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（川民发〔2021〕102号）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E1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eastAsia="方正仿宋简体"/>
      <w:sz w:val="32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448</Characters>
  <Lines>9</Lines>
  <Paragraphs>2</Paragraphs>
  <TotalTime>1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2022-01-25T11:31:00Z</dcterms:created>
  <dc:creator>wan fj</dc:creator>
  <cp:lastModifiedBy>Administrator</cp:lastModifiedBy>
  <dcterms:modified xsi:type="dcterms:W3CDTF">2023-06-21T07:32:31Z</dcterms:modified>
  <dc:title>2022年度“志翔班”补助经费使用情况公示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22DCCE7BAE6E4C1D9EE34AAC20BB8C25_13</vt:lpwstr>
  </property>
</Properties>
</file>